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3C0EF93"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880F95">
        <w:rPr>
          <w:rFonts w:cs="Arial"/>
          <w:bCs/>
          <w:sz w:val="24"/>
          <w:szCs w:val="24"/>
          <w:lang w:eastAsia="ja-JP"/>
        </w:rPr>
        <w:t>3-</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80F95">
        <w:rPr>
          <w:rFonts w:cs="Arial"/>
          <w:bCs/>
          <w:sz w:val="24"/>
          <w:szCs w:val="24"/>
          <w:lang w:eastAsia="ja-JP"/>
        </w:rPr>
        <w:t>1</w:t>
      </w:r>
      <w:r w:rsidR="004E49D1">
        <w:rPr>
          <w:rFonts w:cs="Arial"/>
          <w:bCs/>
          <w:sz w:val="24"/>
          <w:szCs w:val="24"/>
          <w:lang w:eastAsia="ja-JP"/>
        </w:rPr>
        <w:t>0</w:t>
      </w:r>
      <w:r w:rsidR="00880F95">
        <w:rPr>
          <w:rFonts w:cs="Arial"/>
          <w:bCs/>
          <w:sz w:val="24"/>
          <w:szCs w:val="24"/>
          <w:lang w:eastAsia="ja-JP"/>
        </w:rPr>
        <w:t>2</w:t>
      </w:r>
      <w:r w:rsidR="000C2E71">
        <w:rPr>
          <w:rFonts w:cs="Arial"/>
          <w:bCs/>
          <w:sz w:val="24"/>
          <w:szCs w:val="24"/>
          <w:lang w:eastAsia="ja-JP"/>
        </w:rPr>
        <w:t>8</w:t>
      </w:r>
      <w:r w:rsidR="0034504C">
        <w:rPr>
          <w:rFonts w:cs="Arial"/>
          <w:bCs/>
          <w:sz w:val="24"/>
          <w:szCs w:val="24"/>
          <w:lang w:eastAsia="ja-JP"/>
        </w:rPr>
        <w:t>30</w:t>
      </w:r>
    </w:p>
    <w:p w14:paraId="29CDF947" w14:textId="3AE7FFBC"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0C2E71">
        <w:rPr>
          <w:rFonts w:cs="Arial"/>
          <w:bCs/>
          <w:sz w:val="24"/>
          <w:szCs w:val="24"/>
          <w:lang w:eastAsia="ja-JP"/>
        </w:rPr>
        <w:t>Apr</w:t>
      </w:r>
      <w:r w:rsidR="00A80536">
        <w:rPr>
          <w:rFonts w:cs="Arial"/>
          <w:bCs/>
          <w:sz w:val="24"/>
          <w:szCs w:val="24"/>
          <w:lang w:eastAsia="ja-JP"/>
        </w:rPr>
        <w:t xml:space="preserve"> </w:t>
      </w:r>
      <w:r w:rsidR="000C2E71">
        <w:rPr>
          <w:rFonts w:cs="Arial"/>
          <w:bCs/>
          <w:sz w:val="24"/>
          <w:szCs w:val="24"/>
          <w:lang w:eastAsia="ja-JP"/>
        </w:rPr>
        <w:t>1</w:t>
      </w:r>
      <w:r w:rsidR="009C2E0E">
        <w:rPr>
          <w:rFonts w:cs="Arial"/>
          <w:bCs/>
          <w:sz w:val="24"/>
          <w:szCs w:val="24"/>
          <w:lang w:eastAsia="ja-JP"/>
        </w:rPr>
        <w:t>2</w:t>
      </w:r>
      <w:r w:rsidR="00880F95">
        <w:rPr>
          <w:rFonts w:cs="Arial"/>
          <w:bCs/>
          <w:sz w:val="24"/>
          <w:szCs w:val="24"/>
          <w:vertAlign w:val="superscript"/>
          <w:lang w:eastAsia="ja-JP"/>
        </w:rPr>
        <w:t>th</w:t>
      </w:r>
      <w:r w:rsidR="00A80536">
        <w:rPr>
          <w:rFonts w:cs="Arial"/>
          <w:bCs/>
          <w:sz w:val="24"/>
          <w:szCs w:val="24"/>
          <w:lang w:eastAsia="ja-JP"/>
        </w:rPr>
        <w:t xml:space="preserve"> – </w:t>
      </w:r>
      <w:r w:rsidR="000C2E71">
        <w:rPr>
          <w:rFonts w:cs="Arial"/>
          <w:bCs/>
          <w:sz w:val="24"/>
          <w:szCs w:val="24"/>
          <w:lang w:eastAsia="ja-JP"/>
        </w:rPr>
        <w:t>Apr</w:t>
      </w:r>
      <w:r w:rsidR="00880F95">
        <w:rPr>
          <w:rFonts w:cs="Arial"/>
          <w:bCs/>
          <w:sz w:val="24"/>
          <w:szCs w:val="24"/>
          <w:lang w:eastAsia="ja-JP"/>
        </w:rPr>
        <w:t xml:space="preserve"> </w:t>
      </w:r>
      <w:r w:rsidR="000C2E71">
        <w:rPr>
          <w:rFonts w:cs="Arial"/>
          <w:bCs/>
          <w:sz w:val="24"/>
          <w:szCs w:val="24"/>
          <w:lang w:eastAsia="ja-JP"/>
        </w:rPr>
        <w:t>20</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16A526A3"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34504C">
        <w:rPr>
          <w:rFonts w:cs="Arial"/>
          <w:b/>
          <w:noProof/>
          <w:sz w:val="24"/>
        </w:rPr>
        <w:t>9.2.4</w:t>
      </w:r>
    </w:p>
    <w:p w14:paraId="3DD82F11" w14:textId="6DC92A34"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bookmarkStart w:id="0" w:name="_GoBack"/>
      <w:bookmarkEnd w:id="0"/>
    </w:p>
    <w:p w14:paraId="29927BCA" w14:textId="5F8A3560"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34504C" w:rsidRPr="0034504C">
        <w:rPr>
          <w:rFonts w:cs="Arial"/>
          <w:b/>
          <w:noProof/>
          <w:sz w:val="24"/>
        </w:rPr>
        <w:t>On Providing Ephemeris Information in IoT-NTN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4C7410F5" w14:textId="6DDD6C1B" w:rsidR="00237227" w:rsidRDefault="00ED752A" w:rsidP="00237227">
      <w:pPr>
        <w:tabs>
          <w:tab w:val="left" w:pos="1622"/>
        </w:tabs>
        <w:spacing w:after="0"/>
        <w:rPr>
          <w:rFonts w:ascii="Arial" w:eastAsia="MS Mincho" w:hAnsi="Arial" w:cs="Arial"/>
          <w:szCs w:val="24"/>
          <w:lang w:eastAsia="en-GB"/>
        </w:rPr>
      </w:pPr>
      <w:r>
        <w:rPr>
          <w:rFonts w:ascii="Arial" w:eastAsia="MS Mincho" w:hAnsi="Arial" w:cs="Arial"/>
          <w:szCs w:val="24"/>
          <w:lang w:eastAsia="en-GB"/>
        </w:rPr>
        <w:t xml:space="preserve">As mentioned below, the conclusion of NR-NTN Study Item (SI) in TR 38.821 [1] and the progress in NR-NTN WI has clearly identified the requirement of System Information Broadcast (SIB) to assist the UE with cell-specific information. </w:t>
      </w:r>
    </w:p>
    <w:p w14:paraId="2D0CE842" w14:textId="77777777" w:rsidR="00ED752A" w:rsidRDefault="00ED752A" w:rsidP="00237227">
      <w:pPr>
        <w:tabs>
          <w:tab w:val="left" w:pos="1622"/>
        </w:tabs>
        <w:spacing w:after="0"/>
        <w:rPr>
          <w:rFonts w:ascii="Arial" w:eastAsia="MS Mincho" w:hAnsi="Arial" w:cs="Arial"/>
          <w:szCs w:val="24"/>
          <w:lang w:eastAsia="en-GB"/>
        </w:rPr>
      </w:pPr>
    </w:p>
    <w:p w14:paraId="5766390E" w14:textId="7ACF1D6B" w:rsidR="00237227" w:rsidRDefault="00237227" w:rsidP="00237227">
      <w:pPr>
        <w:pStyle w:val="Caption"/>
        <w:jc w:val="center"/>
        <w:rPr>
          <w:rFonts w:ascii="Arial" w:eastAsia="MS Mincho" w:hAnsi="Arial" w:cs="Arial"/>
          <w:szCs w:val="24"/>
          <w:lang w:eastAsia="en-GB"/>
        </w:rPr>
      </w:pPr>
      <w:r>
        <w:t xml:space="preserve">Table </w:t>
      </w:r>
      <w:r w:rsidR="00DA0575">
        <w:rPr>
          <w:noProof/>
        </w:rPr>
        <w:fldChar w:fldCharType="begin"/>
      </w:r>
      <w:r w:rsidR="00DA0575">
        <w:rPr>
          <w:noProof/>
        </w:rPr>
        <w:instrText xml:space="preserve"> SEQ Table \* ARABIC </w:instrText>
      </w:r>
      <w:r w:rsidR="00DA0575">
        <w:rPr>
          <w:noProof/>
        </w:rPr>
        <w:fldChar w:fldCharType="separate"/>
      </w:r>
      <w:r>
        <w:rPr>
          <w:noProof/>
        </w:rPr>
        <w:t>1</w:t>
      </w:r>
      <w:r w:rsidR="00DA0575">
        <w:rPr>
          <w:noProof/>
        </w:rPr>
        <w:fldChar w:fldCharType="end"/>
      </w:r>
      <w:r>
        <w:t>: Major Recommendations from RAN2 NR-NTN</w:t>
      </w:r>
      <w:r w:rsidR="00ED752A">
        <w:t xml:space="preserve"> in 38.821 [1]</w:t>
      </w:r>
    </w:p>
    <w:tbl>
      <w:tblPr>
        <w:tblStyle w:val="TableGrid"/>
        <w:tblW w:w="0" w:type="auto"/>
        <w:tblInd w:w="895" w:type="dxa"/>
        <w:tblLook w:val="04A0" w:firstRow="1" w:lastRow="0" w:firstColumn="1" w:lastColumn="0" w:noHBand="0" w:noVBand="1"/>
      </w:tblPr>
      <w:tblGrid>
        <w:gridCol w:w="8121"/>
      </w:tblGrid>
      <w:tr w:rsidR="00237227" w14:paraId="08DDB0DA" w14:textId="77777777" w:rsidTr="00CC7001">
        <w:tc>
          <w:tcPr>
            <w:tcW w:w="8121" w:type="dxa"/>
          </w:tcPr>
          <w:p w14:paraId="74374EFA" w14:textId="1E9C30AB" w:rsidR="00237227" w:rsidRDefault="00237227" w:rsidP="00ED752A">
            <w:pPr>
              <w:pStyle w:val="B2"/>
            </w:pPr>
            <w:r w:rsidRPr="00237227">
              <w:t>--</w:t>
            </w:r>
            <w:r w:rsidRPr="00237227">
              <w:tab/>
              <w:t>NTN cell specific information in SIB</w:t>
            </w:r>
          </w:p>
        </w:tc>
      </w:tr>
    </w:tbl>
    <w:p w14:paraId="71C17E6F" w14:textId="495992CF" w:rsidR="00ED752A" w:rsidRDefault="00ED752A" w:rsidP="00663380">
      <w:pPr>
        <w:spacing w:before="240"/>
        <w:rPr>
          <w:rFonts w:ascii="Arial" w:hAnsi="Arial" w:cs="Arial"/>
        </w:rPr>
      </w:pPr>
      <w:r>
        <w:rPr>
          <w:rFonts w:ascii="Arial" w:hAnsi="Arial" w:cs="Arial"/>
        </w:rPr>
        <w:t xml:space="preserve">During RAN2 112-e meeting [2], in IoT-NTN SI, it </w:t>
      </w:r>
      <w:r w:rsidR="006968FF">
        <w:rPr>
          <w:rFonts w:ascii="Arial" w:hAnsi="Arial" w:cs="Arial"/>
        </w:rPr>
        <w:t>wa</w:t>
      </w:r>
      <w:r>
        <w:rPr>
          <w:rFonts w:ascii="Arial" w:hAnsi="Arial" w:cs="Arial"/>
        </w:rPr>
        <w:t xml:space="preserve">s agreed that </w:t>
      </w:r>
      <w:r w:rsidRPr="00ED752A">
        <w:rPr>
          <w:rFonts w:ascii="Arial" w:hAnsi="Arial" w:cs="Arial"/>
        </w:rPr>
        <w:t xml:space="preserve">Ephemeris information </w:t>
      </w:r>
      <w:r w:rsidR="009A1928">
        <w:rPr>
          <w:rFonts w:ascii="Arial" w:hAnsi="Arial" w:cs="Arial"/>
        </w:rPr>
        <w:t xml:space="preserve">is necessary for IoT-NTN </w:t>
      </w:r>
      <w:r>
        <w:rPr>
          <w:rFonts w:ascii="Arial" w:hAnsi="Arial" w:cs="Arial"/>
        </w:rPr>
        <w:t xml:space="preserve">the UE to estimate round-trip delay, required for adjusting the relevant MAC timers. This ephemeris </w:t>
      </w:r>
      <w:r w:rsidR="006968FF">
        <w:rPr>
          <w:rFonts w:ascii="Arial" w:hAnsi="Arial" w:cs="Arial"/>
        </w:rPr>
        <w:t>is also used by RAN1 for UL time and frequency synchronisation</w:t>
      </w:r>
      <w:r w:rsidR="00692822">
        <w:rPr>
          <w:rFonts w:ascii="Arial" w:hAnsi="Arial" w:cs="Arial"/>
        </w:rPr>
        <w:t>, as</w:t>
      </w:r>
      <w:r>
        <w:rPr>
          <w:rFonts w:ascii="Arial" w:hAnsi="Arial" w:cs="Arial"/>
        </w:rPr>
        <w:t xml:space="preserve"> mentioned in draft TR 36.673 [3]. </w:t>
      </w:r>
    </w:p>
    <w:p w14:paraId="62894C6E" w14:textId="0FCA915E" w:rsidR="00ED752A" w:rsidRPr="00ED752A" w:rsidRDefault="00ED752A" w:rsidP="00663380">
      <w:pPr>
        <w:spacing w:before="240"/>
        <w:rPr>
          <w:rFonts w:ascii="Arial" w:hAnsi="Arial" w:cs="Arial"/>
          <w:b/>
        </w:rPr>
      </w:pPr>
      <w:r w:rsidRPr="00ED752A">
        <w:rPr>
          <w:rFonts w:ascii="Arial" w:hAnsi="Arial" w:cs="Arial"/>
          <w:b/>
        </w:rPr>
        <w:t>Observation 1: Ephemeris information need</w:t>
      </w:r>
      <w:r w:rsidR="006968FF">
        <w:rPr>
          <w:rFonts w:ascii="Arial" w:hAnsi="Arial" w:cs="Arial"/>
          <w:b/>
        </w:rPr>
        <w:t>s</w:t>
      </w:r>
      <w:r w:rsidRPr="00ED752A">
        <w:rPr>
          <w:rFonts w:ascii="Arial" w:hAnsi="Arial" w:cs="Arial"/>
          <w:b/>
        </w:rPr>
        <w:t xml:space="preserve"> to be provided to UE</w:t>
      </w:r>
      <w:r w:rsidR="00623CB7">
        <w:rPr>
          <w:rFonts w:ascii="Arial" w:hAnsi="Arial" w:cs="Arial"/>
          <w:b/>
        </w:rPr>
        <w:t>s</w:t>
      </w:r>
      <w:r w:rsidRPr="00ED752A">
        <w:rPr>
          <w:rFonts w:ascii="Arial" w:hAnsi="Arial" w:cs="Arial"/>
          <w:b/>
        </w:rPr>
        <w:t xml:space="preserve"> in IoT-NTN.</w:t>
      </w:r>
    </w:p>
    <w:p w14:paraId="3F7F68C8" w14:textId="21E8854F" w:rsidR="00F423D5" w:rsidRPr="00237227" w:rsidRDefault="00663380" w:rsidP="00663380">
      <w:pPr>
        <w:spacing w:before="240"/>
        <w:rPr>
          <w:rFonts w:ascii="Arial" w:hAnsi="Arial" w:cs="Arial"/>
        </w:rPr>
      </w:pPr>
      <w:r w:rsidRPr="00237227">
        <w:rPr>
          <w:rFonts w:ascii="Arial" w:hAnsi="Arial" w:cs="Arial"/>
        </w:rPr>
        <w:t>In this contribution</w:t>
      </w:r>
      <w:r w:rsidR="00BA6E35" w:rsidRPr="00237227">
        <w:rPr>
          <w:rFonts w:ascii="Arial" w:hAnsi="Arial" w:cs="Arial"/>
        </w:rPr>
        <w:t xml:space="preserve">, we </w:t>
      </w:r>
      <w:r w:rsidR="00692822">
        <w:rPr>
          <w:rFonts w:ascii="Arial" w:hAnsi="Arial" w:cs="Arial"/>
        </w:rPr>
        <w:t>discuss</w:t>
      </w:r>
      <w:r w:rsidR="00692822" w:rsidRPr="00237227">
        <w:rPr>
          <w:rFonts w:ascii="Arial" w:hAnsi="Arial" w:cs="Arial"/>
        </w:rPr>
        <w:t xml:space="preserve"> </w:t>
      </w:r>
      <w:r w:rsidR="00ED752A">
        <w:rPr>
          <w:rFonts w:ascii="Arial" w:hAnsi="Arial" w:cs="Arial"/>
        </w:rPr>
        <w:t>how to provide this ephemeris information to the UE</w:t>
      </w:r>
      <w:r w:rsidR="006B3B41" w:rsidRPr="00237227">
        <w:rPr>
          <w:rFonts w:ascii="Arial" w:hAnsi="Arial" w:cs="Arial"/>
        </w:rPr>
        <w:t>.</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1F5E6295" w14:textId="68C30B05" w:rsidR="00623CB7" w:rsidRDefault="00692822" w:rsidP="00ED752A">
      <w:pPr>
        <w:pStyle w:val="EQ"/>
        <w:jc w:val="both"/>
        <w:rPr>
          <w:rFonts w:ascii="Arial" w:hAnsi="Arial" w:cs="Arial"/>
          <w:bCs/>
        </w:rPr>
      </w:pPr>
      <w:r>
        <w:rPr>
          <w:rFonts w:ascii="Arial" w:hAnsi="Arial" w:cs="Arial"/>
          <w:bCs/>
        </w:rPr>
        <w:t>From RAN1 discussions</w:t>
      </w:r>
      <w:r w:rsidR="00ED752A" w:rsidRPr="00ED752A">
        <w:rPr>
          <w:rFonts w:ascii="Arial" w:hAnsi="Arial" w:cs="Arial"/>
          <w:bCs/>
        </w:rPr>
        <w:t>, there are two</w:t>
      </w:r>
      <w:r w:rsidR="00ED752A">
        <w:rPr>
          <w:rFonts w:ascii="Arial" w:hAnsi="Arial" w:cs="Arial"/>
          <w:bCs/>
        </w:rPr>
        <w:t xml:space="preserve"> </w:t>
      </w:r>
      <w:r>
        <w:rPr>
          <w:rFonts w:ascii="Arial" w:hAnsi="Arial" w:cs="Arial"/>
          <w:bCs/>
        </w:rPr>
        <w:t xml:space="preserve">different </w:t>
      </w:r>
      <w:r w:rsidR="00ED752A" w:rsidRPr="00ED752A">
        <w:rPr>
          <w:rFonts w:ascii="Arial" w:hAnsi="Arial" w:cs="Arial"/>
          <w:bCs/>
        </w:rPr>
        <w:t xml:space="preserve">ways to </w:t>
      </w:r>
      <w:r w:rsidR="00D169C9">
        <w:rPr>
          <w:rFonts w:ascii="Arial" w:hAnsi="Arial" w:cs="Arial"/>
          <w:bCs/>
        </w:rPr>
        <w:t xml:space="preserve">represent </w:t>
      </w:r>
      <w:r w:rsidR="00ED752A" w:rsidRPr="00ED752A">
        <w:rPr>
          <w:rFonts w:ascii="Arial" w:hAnsi="Arial" w:cs="Arial"/>
          <w:bCs/>
        </w:rPr>
        <w:t xml:space="preserve">the satellite/HAPS ephemeris. One way is that ephemeris includes only the satellite’s </w:t>
      </w:r>
      <w:r w:rsidR="00ED752A">
        <w:rPr>
          <w:rFonts w:ascii="Arial" w:hAnsi="Arial" w:cs="Arial"/>
          <w:bCs/>
        </w:rPr>
        <w:t>poition and velocity (PV)</w:t>
      </w:r>
      <w:r w:rsidR="00ED752A" w:rsidRPr="00ED752A">
        <w:rPr>
          <w:rFonts w:ascii="Arial" w:hAnsi="Arial" w:cs="Arial"/>
          <w:bCs/>
        </w:rPr>
        <w:t xml:space="preserve"> information, and the other way is </w:t>
      </w:r>
      <w:r>
        <w:rPr>
          <w:rFonts w:ascii="Arial" w:hAnsi="Arial" w:cs="Arial"/>
          <w:bCs/>
        </w:rPr>
        <w:t xml:space="preserve">that </w:t>
      </w:r>
      <w:r w:rsidR="00ED752A">
        <w:rPr>
          <w:rFonts w:ascii="Arial" w:hAnsi="Arial" w:cs="Arial"/>
          <w:bCs/>
        </w:rPr>
        <w:t xml:space="preserve">the ephemeris includes Keplerian (orbital) parameters. </w:t>
      </w:r>
      <w:r w:rsidR="00D169C9">
        <w:rPr>
          <w:rFonts w:ascii="Arial" w:hAnsi="Arial" w:cs="Arial"/>
          <w:bCs/>
        </w:rPr>
        <w:t xml:space="preserve">While details of ephemeris format is </w:t>
      </w:r>
      <w:r>
        <w:rPr>
          <w:rFonts w:ascii="Arial" w:hAnsi="Arial" w:cs="Arial"/>
          <w:bCs/>
        </w:rPr>
        <w:t xml:space="preserve">out of </w:t>
      </w:r>
      <w:r w:rsidR="00D169C9">
        <w:rPr>
          <w:rFonts w:ascii="Arial" w:hAnsi="Arial" w:cs="Arial"/>
          <w:bCs/>
        </w:rPr>
        <w:t>the scope of RAN 2 (</w:t>
      </w:r>
      <w:r>
        <w:rPr>
          <w:rFonts w:ascii="Arial" w:hAnsi="Arial" w:cs="Arial"/>
          <w:bCs/>
        </w:rPr>
        <w:t xml:space="preserve">as it is being discussed in </w:t>
      </w:r>
      <w:r w:rsidR="00D169C9">
        <w:rPr>
          <w:rFonts w:ascii="Arial" w:hAnsi="Arial" w:cs="Arial"/>
          <w:bCs/>
        </w:rPr>
        <w:t xml:space="preserve">RAN 1), RAN2 needs to decide the </w:t>
      </w:r>
      <w:r>
        <w:rPr>
          <w:rFonts w:ascii="Arial" w:hAnsi="Arial" w:cs="Arial"/>
          <w:bCs/>
        </w:rPr>
        <w:t xml:space="preserve">means </w:t>
      </w:r>
      <w:r w:rsidR="00D169C9">
        <w:rPr>
          <w:rFonts w:ascii="Arial" w:hAnsi="Arial" w:cs="Arial"/>
          <w:bCs/>
        </w:rPr>
        <w:t>(signalling) to provi</w:t>
      </w:r>
      <w:r w:rsidR="00623CB7">
        <w:rPr>
          <w:rFonts w:ascii="Arial" w:hAnsi="Arial" w:cs="Arial"/>
          <w:bCs/>
        </w:rPr>
        <w:t>de this ephemeris</w:t>
      </w:r>
      <w:r>
        <w:rPr>
          <w:rFonts w:ascii="Arial" w:hAnsi="Arial" w:cs="Arial"/>
          <w:bCs/>
        </w:rPr>
        <w:t xml:space="preserve"> information to the UE</w:t>
      </w:r>
      <w:r w:rsidR="00623CB7">
        <w:rPr>
          <w:rFonts w:ascii="Arial" w:hAnsi="Arial" w:cs="Arial"/>
          <w:bCs/>
        </w:rPr>
        <w:t xml:space="preserve">. </w:t>
      </w:r>
      <w:r w:rsidR="006968FF">
        <w:rPr>
          <w:rFonts w:ascii="Arial" w:hAnsi="Arial" w:cs="Arial"/>
          <w:bCs/>
        </w:rPr>
        <w:t xml:space="preserve">We had earlier </w:t>
      </w:r>
      <w:r>
        <w:rPr>
          <w:rFonts w:ascii="Arial" w:hAnsi="Arial" w:cs="Arial"/>
          <w:bCs/>
        </w:rPr>
        <w:t xml:space="preserve">agreed in RAN2 112-e that </w:t>
      </w:r>
      <w:r w:rsidRPr="009A1928">
        <w:rPr>
          <w:rFonts w:ascii="Arial" w:hAnsi="Arial" w:cs="Arial"/>
          <w:bCs/>
        </w:rPr>
        <w:t>RAN2 will discuss providing satellite ephemeris data and other information using System Information (SI) message for eMTC/NB-IoT NTN.</w:t>
      </w:r>
    </w:p>
    <w:p w14:paraId="4892F2C6" w14:textId="055858D6" w:rsidR="006C7268" w:rsidRDefault="00692822" w:rsidP="00ED752A">
      <w:pPr>
        <w:pStyle w:val="EQ"/>
        <w:jc w:val="both"/>
        <w:rPr>
          <w:rFonts w:ascii="Arial" w:hAnsi="Arial" w:cs="Arial"/>
          <w:bCs/>
        </w:rPr>
      </w:pPr>
      <w:r>
        <w:rPr>
          <w:rFonts w:ascii="Arial" w:hAnsi="Arial" w:cs="Arial"/>
          <w:bCs/>
        </w:rPr>
        <w:t>E</w:t>
      </w:r>
      <w:r w:rsidR="00623CB7">
        <w:rPr>
          <w:rFonts w:ascii="Arial" w:hAnsi="Arial" w:cs="Arial"/>
          <w:bCs/>
        </w:rPr>
        <w:t xml:space="preserve">phemeris </w:t>
      </w:r>
      <w:r>
        <w:rPr>
          <w:rFonts w:ascii="Arial" w:hAnsi="Arial" w:cs="Arial"/>
          <w:bCs/>
        </w:rPr>
        <w:t xml:space="preserve">information </w:t>
      </w:r>
      <w:r w:rsidR="00623CB7">
        <w:rPr>
          <w:rFonts w:ascii="Arial" w:hAnsi="Arial" w:cs="Arial"/>
          <w:bCs/>
        </w:rPr>
        <w:t>is needed for all IoT-NTN UEs</w:t>
      </w:r>
      <w:r>
        <w:rPr>
          <w:rFonts w:ascii="Arial" w:hAnsi="Arial" w:cs="Arial"/>
          <w:bCs/>
        </w:rPr>
        <w:t xml:space="preserve">, and as it is used for UL synchronisation, this information needs to be known to the UE when it is in Idle mode (i.e. before the RACH preamble is sent). Given that this information is needed for all UEs in Idle mode, the simplest means to provide this information is </w:t>
      </w:r>
      <w:r w:rsidR="00623CB7">
        <w:rPr>
          <w:rFonts w:ascii="Arial" w:hAnsi="Arial" w:cs="Arial"/>
          <w:bCs/>
        </w:rPr>
        <w:t xml:space="preserve">using </w:t>
      </w:r>
      <w:r w:rsidR="006968FF">
        <w:rPr>
          <w:rFonts w:ascii="Arial" w:hAnsi="Arial" w:cs="Arial"/>
          <w:bCs/>
        </w:rPr>
        <w:t>broadcast signalling</w:t>
      </w:r>
      <w:r w:rsidR="00623CB7">
        <w:rPr>
          <w:rFonts w:ascii="Arial" w:hAnsi="Arial" w:cs="Arial"/>
          <w:bCs/>
        </w:rPr>
        <w:t xml:space="preserve">. </w:t>
      </w:r>
      <w:r w:rsidR="006968FF">
        <w:rPr>
          <w:rFonts w:ascii="Arial" w:hAnsi="Arial" w:cs="Arial"/>
          <w:bCs/>
        </w:rPr>
        <w:t>To this end, w</w:t>
      </w:r>
      <w:r>
        <w:rPr>
          <w:rFonts w:ascii="Arial" w:hAnsi="Arial" w:cs="Arial"/>
          <w:bCs/>
        </w:rPr>
        <w:t>e propose to introduce a new NTN-specific SIB to provide ephemeris information to all IoT-NTN UEs.</w:t>
      </w:r>
      <w:r w:rsidR="006968FF">
        <w:rPr>
          <w:rFonts w:ascii="Arial" w:hAnsi="Arial" w:cs="Arial"/>
          <w:bCs/>
        </w:rPr>
        <w:t xml:space="preserve"> The details of the contents of this new SIB can be decided as discussions in RAN1 progress.</w:t>
      </w:r>
    </w:p>
    <w:p w14:paraId="090C26DA" w14:textId="3F0666AD" w:rsidR="00623CB7" w:rsidRPr="00623CB7" w:rsidRDefault="00623CB7" w:rsidP="00623CB7">
      <w:r>
        <w:rPr>
          <w:rFonts w:ascii="Arial" w:hAnsi="Arial" w:cs="Arial"/>
          <w:b/>
        </w:rPr>
        <w:t>Proposal</w:t>
      </w:r>
      <w:r w:rsidRPr="00ED752A">
        <w:rPr>
          <w:rFonts w:ascii="Arial" w:hAnsi="Arial" w:cs="Arial"/>
          <w:b/>
        </w:rPr>
        <w:t xml:space="preserve"> 1: </w:t>
      </w:r>
      <w:r w:rsidR="00692822">
        <w:rPr>
          <w:rFonts w:ascii="Arial" w:hAnsi="Arial" w:cs="Arial"/>
          <w:b/>
        </w:rPr>
        <w:t xml:space="preserve">An </w:t>
      </w:r>
      <w:r>
        <w:rPr>
          <w:rFonts w:ascii="Arial" w:hAnsi="Arial" w:cs="Arial"/>
          <w:b/>
        </w:rPr>
        <w:t xml:space="preserve">NTN-specific SIB </w:t>
      </w:r>
      <w:r w:rsidR="00692822">
        <w:rPr>
          <w:rFonts w:ascii="Arial" w:hAnsi="Arial" w:cs="Arial"/>
          <w:b/>
        </w:rPr>
        <w:t xml:space="preserve">is defined to </w:t>
      </w:r>
      <w:r>
        <w:rPr>
          <w:rFonts w:ascii="Arial" w:hAnsi="Arial" w:cs="Arial"/>
          <w:b/>
        </w:rPr>
        <w:t>provi</w:t>
      </w:r>
      <w:r w:rsidR="006968FF">
        <w:rPr>
          <w:rFonts w:ascii="Arial" w:hAnsi="Arial" w:cs="Arial"/>
          <w:b/>
        </w:rPr>
        <w:t>de</w:t>
      </w:r>
      <w:r>
        <w:rPr>
          <w:rFonts w:ascii="Arial" w:hAnsi="Arial" w:cs="Arial"/>
          <w:b/>
        </w:rPr>
        <w:t xml:space="preserve"> satellite ephemeris information to all the UEs in</w:t>
      </w:r>
      <w:r w:rsidRPr="00ED752A">
        <w:rPr>
          <w:rFonts w:ascii="Arial" w:hAnsi="Arial" w:cs="Arial"/>
          <w:b/>
        </w:rPr>
        <w:t xml:space="preserve"> IoT-NTN</w:t>
      </w:r>
      <w:r>
        <w:rPr>
          <w:rFonts w:ascii="Arial" w:hAnsi="Arial" w:cs="Arial"/>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06B26B35" w:rsidR="00237227" w:rsidRDefault="00E372C9" w:rsidP="00F95324">
      <w:pPr>
        <w:rPr>
          <w:rFonts w:ascii="Arial" w:hAnsi="Arial" w:cs="Arial"/>
          <w:b/>
        </w:rPr>
      </w:pPr>
      <w:r w:rsidRPr="00237227">
        <w:rPr>
          <w:rFonts w:ascii="Arial" w:hAnsi="Arial" w:cs="Arial"/>
        </w:rPr>
        <w:t>In this contribution, we</w:t>
      </w:r>
      <w:r w:rsidR="00623CB7">
        <w:rPr>
          <w:rFonts w:ascii="Arial" w:hAnsi="Arial" w:cs="Arial"/>
        </w:rPr>
        <w:t xml:space="preserve"> have the following observation and proposal</w:t>
      </w:r>
      <w:r w:rsidRPr="00237227">
        <w:rPr>
          <w:rFonts w:ascii="Arial" w:hAnsi="Arial" w:cs="Arial"/>
        </w:rPr>
        <w:t xml:space="preserve"> regarding </w:t>
      </w:r>
      <w:r w:rsidR="00ED752A">
        <w:rPr>
          <w:rFonts w:ascii="Arial" w:hAnsi="Arial" w:cs="Arial"/>
        </w:rPr>
        <w:t xml:space="preserve">providing </w:t>
      </w:r>
      <w:r w:rsidRPr="00237227">
        <w:rPr>
          <w:rFonts w:ascii="Arial" w:hAnsi="Arial" w:cs="Arial"/>
        </w:rPr>
        <w:t>the</w:t>
      </w:r>
      <w:r w:rsidR="00237227">
        <w:rPr>
          <w:rFonts w:ascii="Arial" w:hAnsi="Arial" w:cs="Arial"/>
        </w:rPr>
        <w:t xml:space="preserve"> </w:t>
      </w:r>
      <w:r w:rsidR="00ED752A">
        <w:rPr>
          <w:rFonts w:ascii="Arial" w:hAnsi="Arial" w:cs="Arial"/>
        </w:rPr>
        <w:t>ephemeris</w:t>
      </w:r>
      <w:r w:rsidRPr="00237227">
        <w:rPr>
          <w:rFonts w:ascii="Arial" w:hAnsi="Arial" w:cs="Arial"/>
        </w:rPr>
        <w:t xml:space="preserve"> </w:t>
      </w:r>
      <w:r w:rsidR="00ED752A">
        <w:rPr>
          <w:rFonts w:ascii="Arial" w:hAnsi="Arial" w:cs="Arial"/>
        </w:rPr>
        <w:t xml:space="preserve">information </w:t>
      </w:r>
      <w:r w:rsidRPr="00237227">
        <w:rPr>
          <w:rFonts w:ascii="Arial" w:hAnsi="Arial" w:cs="Arial"/>
        </w:rPr>
        <w:t xml:space="preserve">in </w:t>
      </w:r>
      <w:r w:rsidR="00FA0F6B">
        <w:rPr>
          <w:rFonts w:ascii="Arial" w:hAnsi="Arial" w:cs="Arial"/>
        </w:rPr>
        <w:t>IoT</w:t>
      </w:r>
      <w:r w:rsidR="00237227">
        <w:rPr>
          <w:rFonts w:ascii="Arial" w:hAnsi="Arial" w:cs="Arial"/>
        </w:rPr>
        <w:t>-</w:t>
      </w:r>
      <w:r w:rsidRPr="00237227">
        <w:rPr>
          <w:rFonts w:ascii="Arial" w:hAnsi="Arial" w:cs="Arial"/>
        </w:rPr>
        <w:t>NTN:</w:t>
      </w:r>
    </w:p>
    <w:p w14:paraId="78C84040" w14:textId="3ED1F643" w:rsidR="0020413E" w:rsidRDefault="0020413E" w:rsidP="0020413E">
      <w:pPr>
        <w:rPr>
          <w:rFonts w:ascii="Arial" w:eastAsia="MS Mincho" w:hAnsi="Arial"/>
          <w:b/>
        </w:rPr>
      </w:pPr>
      <w:r>
        <w:rPr>
          <w:rFonts w:ascii="Arial" w:eastAsia="MS Mincho" w:hAnsi="Arial"/>
          <w:b/>
        </w:rPr>
        <w:t xml:space="preserve">Observation 1: </w:t>
      </w:r>
      <w:r w:rsidR="00623CB7" w:rsidRPr="00ED752A">
        <w:rPr>
          <w:rFonts w:ascii="Arial" w:hAnsi="Arial" w:cs="Arial"/>
          <w:b/>
        </w:rPr>
        <w:t>Ephemeris information need</w:t>
      </w:r>
      <w:r w:rsidR="006968FF">
        <w:rPr>
          <w:rFonts w:ascii="Arial" w:hAnsi="Arial" w:cs="Arial"/>
          <w:b/>
        </w:rPr>
        <w:t>s</w:t>
      </w:r>
      <w:r w:rsidR="00623CB7" w:rsidRPr="00ED752A">
        <w:rPr>
          <w:rFonts w:ascii="Arial" w:hAnsi="Arial" w:cs="Arial"/>
          <w:b/>
        </w:rPr>
        <w:t xml:space="preserve"> to be provided to UE</w:t>
      </w:r>
      <w:r w:rsidR="00623CB7">
        <w:rPr>
          <w:rFonts w:ascii="Arial" w:hAnsi="Arial" w:cs="Arial"/>
          <w:b/>
        </w:rPr>
        <w:t>s</w:t>
      </w:r>
      <w:r w:rsidR="00623CB7" w:rsidRPr="00ED752A">
        <w:rPr>
          <w:rFonts w:ascii="Arial" w:hAnsi="Arial" w:cs="Arial"/>
          <w:b/>
        </w:rPr>
        <w:t xml:space="preserve"> in IoT-NTN</w:t>
      </w:r>
    </w:p>
    <w:p w14:paraId="08E05303" w14:textId="168B4A2A" w:rsidR="0020413E" w:rsidRDefault="005B5040" w:rsidP="00ED752A">
      <w:pPr>
        <w:rPr>
          <w:rFonts w:ascii="Arial" w:eastAsia="MS Mincho" w:hAnsi="Arial"/>
          <w:b/>
        </w:rPr>
      </w:pPr>
      <w:r>
        <w:rPr>
          <w:rFonts w:ascii="Arial" w:eastAsia="MS Mincho" w:hAnsi="Arial"/>
          <w:b/>
        </w:rPr>
        <w:lastRenderedPageBreak/>
        <w:t>Proposal 1</w:t>
      </w:r>
      <w:r w:rsidRPr="0036435B">
        <w:rPr>
          <w:rFonts w:ascii="Arial" w:eastAsia="MS Mincho" w:hAnsi="Arial"/>
          <w:b/>
        </w:rPr>
        <w:t>:</w:t>
      </w:r>
      <w:r>
        <w:rPr>
          <w:rFonts w:ascii="Arial" w:eastAsia="MS Mincho" w:hAnsi="Arial"/>
          <w:b/>
        </w:rPr>
        <w:t xml:space="preserve"> </w:t>
      </w:r>
      <w:r w:rsidR="006968FF">
        <w:rPr>
          <w:rFonts w:ascii="Arial" w:hAnsi="Arial" w:cs="Arial"/>
          <w:b/>
        </w:rPr>
        <w:t>An</w:t>
      </w:r>
      <w:r w:rsidR="00623CB7">
        <w:rPr>
          <w:rFonts w:ascii="Arial" w:hAnsi="Arial" w:cs="Arial"/>
          <w:b/>
        </w:rPr>
        <w:t xml:space="preserve"> NTN-specific SIB </w:t>
      </w:r>
      <w:r w:rsidR="006968FF">
        <w:rPr>
          <w:rFonts w:ascii="Arial" w:hAnsi="Arial" w:cs="Arial"/>
          <w:b/>
        </w:rPr>
        <w:t xml:space="preserve">is defined to </w:t>
      </w:r>
      <w:r w:rsidR="00623CB7">
        <w:rPr>
          <w:rFonts w:ascii="Arial" w:hAnsi="Arial" w:cs="Arial"/>
          <w:b/>
        </w:rPr>
        <w:t>provid</w:t>
      </w:r>
      <w:r w:rsidR="006968FF">
        <w:rPr>
          <w:rFonts w:ascii="Arial" w:hAnsi="Arial" w:cs="Arial"/>
          <w:b/>
        </w:rPr>
        <w:t>e</w:t>
      </w:r>
      <w:r w:rsidR="00623CB7">
        <w:rPr>
          <w:rFonts w:ascii="Arial" w:hAnsi="Arial" w:cs="Arial"/>
          <w:b/>
        </w:rPr>
        <w:t xml:space="preserve"> satellite ephemeris information to all the UEs in</w:t>
      </w:r>
      <w:r w:rsidR="00623CB7" w:rsidRPr="00ED752A">
        <w:rPr>
          <w:rFonts w:ascii="Arial" w:hAnsi="Arial" w:cs="Arial"/>
          <w:b/>
        </w:rPr>
        <w:t xml:space="preserve"> IoT-NTN</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618A8581" w14:textId="4310E997" w:rsidR="00AB48D5" w:rsidRPr="00A13C46" w:rsidRDefault="00FD3DEB" w:rsidP="00272B3B">
      <w:pPr>
        <w:pStyle w:val="ListParagraph"/>
        <w:numPr>
          <w:ilvl w:val="0"/>
          <w:numId w:val="1"/>
        </w:numPr>
        <w:overflowPunct/>
        <w:autoSpaceDE/>
        <w:autoSpaceDN/>
        <w:adjustRightInd/>
        <w:spacing w:after="60"/>
        <w:contextualSpacing w:val="0"/>
        <w:textAlignment w:val="auto"/>
        <w:rPr>
          <w:rFonts w:ascii="Arial" w:hAnsi="Arial" w:cs="Arial"/>
        </w:rPr>
      </w:pPr>
      <w:r w:rsidRPr="00A13C46">
        <w:rPr>
          <w:rFonts w:ascii="Arial" w:hAnsi="Arial" w:cs="Arial"/>
        </w:rPr>
        <w:t>3GPP TR 3</w:t>
      </w:r>
      <w:r w:rsidR="00C93DCB" w:rsidRPr="00A13C46">
        <w:rPr>
          <w:rFonts w:ascii="Arial" w:hAnsi="Arial" w:cs="Arial"/>
        </w:rPr>
        <w:t>8</w:t>
      </w:r>
      <w:r w:rsidRPr="00A13C46">
        <w:rPr>
          <w:rFonts w:ascii="Arial" w:hAnsi="Arial" w:cs="Arial"/>
        </w:rPr>
        <w:t>.821</w:t>
      </w:r>
      <w:r w:rsidR="00A13C46" w:rsidRPr="00A13C46">
        <w:rPr>
          <w:rFonts w:ascii="Arial" w:hAnsi="Arial" w:cs="Arial"/>
        </w:rPr>
        <w:t>:</w:t>
      </w:r>
      <w:r w:rsidR="00272B3B" w:rsidRPr="00A13C46">
        <w:rPr>
          <w:rFonts w:ascii="Arial" w:hAnsi="Arial" w:cs="Arial"/>
        </w:rPr>
        <w:t xml:space="preserve"> Solutions for NR to support Non-Terrestrial Networks (NTN)</w:t>
      </w:r>
    </w:p>
    <w:p w14:paraId="2A5FBF43" w14:textId="57EE7CB7" w:rsidR="00272B3B" w:rsidRPr="00A13C46" w:rsidRDefault="00A13C46" w:rsidP="00A13C46">
      <w:pPr>
        <w:pStyle w:val="ListParagraph"/>
        <w:numPr>
          <w:ilvl w:val="0"/>
          <w:numId w:val="1"/>
        </w:numPr>
        <w:overflowPunct/>
        <w:autoSpaceDE/>
        <w:autoSpaceDN/>
        <w:adjustRightInd/>
        <w:spacing w:after="60"/>
        <w:contextualSpacing w:val="0"/>
        <w:textAlignment w:val="auto"/>
        <w:rPr>
          <w:rFonts w:ascii="Arial" w:hAnsi="Arial" w:cs="Arial"/>
        </w:rPr>
      </w:pPr>
      <w:r w:rsidRPr="00A13C46">
        <w:rPr>
          <w:rFonts w:ascii="Arial" w:hAnsi="Arial" w:cs="Arial"/>
        </w:rPr>
        <w:t>R2-2011275: [IoT-NTN] Applicability of TR 38.821 (MediaTek)</w:t>
      </w:r>
    </w:p>
    <w:p w14:paraId="2587DC26" w14:textId="64ACD38F" w:rsidR="00623CB7" w:rsidRPr="008A0478" w:rsidRDefault="008A0478" w:rsidP="00425E12">
      <w:pPr>
        <w:pStyle w:val="ListParagraph"/>
        <w:numPr>
          <w:ilvl w:val="0"/>
          <w:numId w:val="1"/>
        </w:numPr>
        <w:overflowPunct/>
        <w:autoSpaceDE/>
        <w:autoSpaceDN/>
        <w:adjustRightInd/>
        <w:spacing w:after="60"/>
        <w:contextualSpacing w:val="0"/>
        <w:textAlignment w:val="auto"/>
        <w:rPr>
          <w:rFonts w:ascii="Arial" w:hAnsi="Arial" w:cs="Arial"/>
        </w:rPr>
      </w:pPr>
      <w:r w:rsidRPr="008A0478">
        <w:rPr>
          <w:rFonts w:ascii="Arial" w:hAnsi="Arial" w:cs="Arial"/>
        </w:rPr>
        <w:t>3GPP TR 36.763 V0.1.0</w:t>
      </w:r>
      <w:r w:rsidR="00A13C46" w:rsidRPr="008A0478">
        <w:rPr>
          <w:rFonts w:ascii="Arial" w:hAnsi="Arial" w:cs="Arial"/>
        </w:rPr>
        <w:t xml:space="preserve">: </w:t>
      </w:r>
      <w:r w:rsidRPr="008A0478">
        <w:rPr>
          <w:rFonts w:ascii="Arial" w:hAnsi="Arial" w:cs="Arial"/>
        </w:rPr>
        <w:t>3rd Generation Partnership Project; Technical Specification Group Radio Access Network; Study on Narrow-Band Internet of Things (NB-IoT) / enhanced Machine Type Communication (eMTC) support for Non-Terrestrial Networks (NTN) (Release 17)</w:t>
      </w:r>
    </w:p>
    <w:sectPr w:rsidR="00623CB7" w:rsidRPr="008A0478"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52AB2" w14:textId="77777777" w:rsidR="002B2295" w:rsidRDefault="002B2295" w:rsidP="00BD754F">
      <w:pPr>
        <w:spacing w:after="0"/>
      </w:pPr>
      <w:r>
        <w:separator/>
      </w:r>
    </w:p>
  </w:endnote>
  <w:endnote w:type="continuationSeparator" w:id="0">
    <w:p w14:paraId="28FEF0BC" w14:textId="77777777" w:rsidR="002B2295" w:rsidRDefault="002B229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DF083" w14:textId="77777777" w:rsidR="002B2295" w:rsidRDefault="002B2295" w:rsidP="00BD754F">
      <w:pPr>
        <w:spacing w:after="0"/>
      </w:pPr>
      <w:r>
        <w:separator/>
      </w:r>
    </w:p>
  </w:footnote>
  <w:footnote w:type="continuationSeparator" w:id="0">
    <w:p w14:paraId="3A3671FF" w14:textId="77777777" w:rsidR="002B2295" w:rsidRDefault="002B2295"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36">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4"/>
  </w:num>
  <w:num w:numId="4">
    <w:abstractNumId w:val="16"/>
  </w:num>
  <w:num w:numId="5">
    <w:abstractNumId w:val="11"/>
  </w:num>
  <w:num w:numId="6">
    <w:abstractNumId w:val="21"/>
  </w:num>
  <w:num w:numId="7">
    <w:abstractNumId w:val="2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0"/>
  </w:num>
  <w:num w:numId="10">
    <w:abstractNumId w:val="25"/>
  </w:num>
  <w:num w:numId="11">
    <w:abstractNumId w:val="27"/>
  </w:num>
  <w:num w:numId="12">
    <w:abstractNumId w:val="29"/>
  </w:num>
  <w:num w:numId="13">
    <w:abstractNumId w:val="20"/>
  </w:num>
  <w:num w:numId="14">
    <w:abstractNumId w:val="18"/>
  </w:num>
  <w:num w:numId="15">
    <w:abstractNumId w:val="34"/>
  </w:num>
  <w:num w:numId="16">
    <w:abstractNumId w:val="9"/>
  </w:num>
  <w:num w:numId="17">
    <w:abstractNumId w:val="26"/>
  </w:num>
  <w:num w:numId="18">
    <w:abstractNumId w:val="15"/>
  </w:num>
  <w:num w:numId="19">
    <w:abstractNumId w:val="32"/>
  </w:num>
  <w:num w:numId="20">
    <w:abstractNumId w:val="4"/>
  </w:num>
  <w:num w:numId="21">
    <w:abstractNumId w:val="28"/>
  </w:num>
  <w:num w:numId="22">
    <w:abstractNumId w:val="5"/>
  </w:num>
  <w:num w:numId="23">
    <w:abstractNumId w:val="3"/>
  </w:num>
  <w:num w:numId="24">
    <w:abstractNumId w:val="19"/>
  </w:num>
  <w:num w:numId="25">
    <w:abstractNumId w:val="22"/>
  </w:num>
  <w:num w:numId="26">
    <w:abstractNumId w:val="37"/>
  </w:num>
  <w:num w:numId="27">
    <w:abstractNumId w:val="7"/>
  </w:num>
  <w:num w:numId="28">
    <w:abstractNumId w:val="36"/>
  </w:num>
  <w:num w:numId="29">
    <w:abstractNumId w:val="13"/>
  </w:num>
  <w:num w:numId="30">
    <w:abstractNumId w:val="24"/>
  </w:num>
  <w:num w:numId="31">
    <w:abstractNumId w:val="17"/>
  </w:num>
  <w:num w:numId="32">
    <w:abstractNumId w:val="30"/>
  </w:num>
  <w:num w:numId="33">
    <w:abstractNumId w:val="12"/>
  </w:num>
  <w:num w:numId="34">
    <w:abstractNumId w:val="39"/>
  </w:num>
  <w:num w:numId="35">
    <w:abstractNumId w:val="10"/>
  </w:num>
  <w:num w:numId="36">
    <w:abstractNumId w:val="6"/>
  </w:num>
  <w:num w:numId="37">
    <w:abstractNumId w:val="33"/>
  </w:num>
  <w:num w:numId="38">
    <w:abstractNumId w:val="38"/>
  </w:num>
  <w:num w:numId="39">
    <w:abstractNumId w:val="2"/>
  </w:num>
  <w:num w:numId="40">
    <w:abstractNumId w:val="31"/>
  </w:num>
  <w:num w:numId="4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1E7"/>
    <w:rsid w:val="00237227"/>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A50"/>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295"/>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504C"/>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A789E"/>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26B7"/>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61F6"/>
    <w:rsid w:val="005865AA"/>
    <w:rsid w:val="0058680A"/>
    <w:rsid w:val="00590332"/>
    <w:rsid w:val="00590CCD"/>
    <w:rsid w:val="0059403A"/>
    <w:rsid w:val="00595264"/>
    <w:rsid w:val="00595BFA"/>
    <w:rsid w:val="00595CA2"/>
    <w:rsid w:val="005969D0"/>
    <w:rsid w:val="0059756A"/>
    <w:rsid w:val="005A05D3"/>
    <w:rsid w:val="005A160F"/>
    <w:rsid w:val="005A2E5B"/>
    <w:rsid w:val="005A57A8"/>
    <w:rsid w:val="005A57AF"/>
    <w:rsid w:val="005A5DEE"/>
    <w:rsid w:val="005A759D"/>
    <w:rsid w:val="005B008A"/>
    <w:rsid w:val="005B1E07"/>
    <w:rsid w:val="005B43A2"/>
    <w:rsid w:val="005B5040"/>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3CB7"/>
    <w:rsid w:val="006241F6"/>
    <w:rsid w:val="00624205"/>
    <w:rsid w:val="00624786"/>
    <w:rsid w:val="00624B5A"/>
    <w:rsid w:val="00625D29"/>
    <w:rsid w:val="00627C21"/>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822"/>
    <w:rsid w:val="00692AD6"/>
    <w:rsid w:val="00693560"/>
    <w:rsid w:val="0069420C"/>
    <w:rsid w:val="00695C79"/>
    <w:rsid w:val="006968FF"/>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157"/>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1D3F"/>
    <w:rsid w:val="008924F7"/>
    <w:rsid w:val="008942B0"/>
    <w:rsid w:val="008947A0"/>
    <w:rsid w:val="008A0478"/>
    <w:rsid w:val="008A05F0"/>
    <w:rsid w:val="008A0B55"/>
    <w:rsid w:val="008A0D1E"/>
    <w:rsid w:val="008A19FC"/>
    <w:rsid w:val="008A1D06"/>
    <w:rsid w:val="008A1FFD"/>
    <w:rsid w:val="008A2E7F"/>
    <w:rsid w:val="008A36D5"/>
    <w:rsid w:val="008A3B76"/>
    <w:rsid w:val="008A779E"/>
    <w:rsid w:val="008A7CE5"/>
    <w:rsid w:val="008B0CBD"/>
    <w:rsid w:val="008B0F44"/>
    <w:rsid w:val="008B3A64"/>
    <w:rsid w:val="008B5420"/>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700E"/>
    <w:rsid w:val="009510F5"/>
    <w:rsid w:val="009517C0"/>
    <w:rsid w:val="00951E4D"/>
    <w:rsid w:val="00953F5C"/>
    <w:rsid w:val="0095664D"/>
    <w:rsid w:val="00956BA5"/>
    <w:rsid w:val="00957D25"/>
    <w:rsid w:val="009602F4"/>
    <w:rsid w:val="00960582"/>
    <w:rsid w:val="009618C6"/>
    <w:rsid w:val="00962AC9"/>
    <w:rsid w:val="009634E3"/>
    <w:rsid w:val="00966B42"/>
    <w:rsid w:val="00966DC1"/>
    <w:rsid w:val="00967CA8"/>
    <w:rsid w:val="00967FA3"/>
    <w:rsid w:val="00970848"/>
    <w:rsid w:val="00970D3C"/>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1928"/>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0665A"/>
    <w:rsid w:val="00A134E4"/>
    <w:rsid w:val="00A13C46"/>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2E3F"/>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33B6"/>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9C9"/>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C5B"/>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3176"/>
    <w:rsid w:val="00E532C0"/>
    <w:rsid w:val="00E536F3"/>
    <w:rsid w:val="00E54670"/>
    <w:rsid w:val="00E6003E"/>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52A"/>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40735-35AC-49C8-BF13-CF103CEC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2021-04-01T12:54:00Z</dcterms:created>
  <dcterms:modified xsi:type="dcterms:W3CDTF">2021-04-02T05:56:00Z</dcterms:modified>
</cp:coreProperties>
</file>